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78486" w14:textId="7F873601" w:rsidR="00E57A24" w:rsidRPr="006C2FB3" w:rsidRDefault="00B01DF9" w:rsidP="00CB69E0">
      <w:pPr>
        <w:pStyle w:val="Heading1"/>
        <w:jc w:val="center"/>
      </w:pPr>
      <w:r>
        <w:t>National Report Provides</w:t>
      </w:r>
      <w:r w:rsidR="006C2FB3">
        <w:t xml:space="preserve"> Strategies for </w:t>
      </w:r>
      <w:r w:rsidR="00886E0F">
        <w:t>States to Identify</w:t>
      </w:r>
      <w:r w:rsidR="006C2FB3">
        <w:t xml:space="preserve"> and </w:t>
      </w:r>
      <w:r w:rsidR="00886E0F">
        <w:t xml:space="preserve">Promote </w:t>
      </w:r>
      <w:r w:rsidR="006C2FB3">
        <w:t>Credentials of Value</w:t>
      </w:r>
    </w:p>
    <w:p w14:paraId="5113FB65" w14:textId="77777777" w:rsidR="00CB69E0" w:rsidRDefault="00CB69E0" w:rsidP="00CB69E0"/>
    <w:p w14:paraId="06A02F0E" w14:textId="0BDA294C" w:rsidR="00CB69E0" w:rsidRDefault="00CB69E0" w:rsidP="00CB69E0">
      <w:pPr>
        <w:pStyle w:val="NoSpacing"/>
      </w:pPr>
      <w:r>
        <w:rPr>
          <w:b/>
        </w:rPr>
        <w:t>Washington, D</w:t>
      </w:r>
      <w:r w:rsidR="006F3EA4">
        <w:rPr>
          <w:b/>
        </w:rPr>
        <w:t>.</w:t>
      </w:r>
      <w:r>
        <w:rPr>
          <w:b/>
        </w:rPr>
        <w:t>C</w:t>
      </w:r>
      <w:r w:rsidR="006F3EA4">
        <w:rPr>
          <w:b/>
        </w:rPr>
        <w:t>.</w:t>
      </w:r>
      <w:r>
        <w:rPr>
          <w:b/>
        </w:rPr>
        <w:t xml:space="preserve"> (</w:t>
      </w:r>
      <w:r w:rsidR="007529A2">
        <w:rPr>
          <w:b/>
        </w:rPr>
        <w:t>October 2</w:t>
      </w:r>
      <w:r w:rsidR="0053080D">
        <w:rPr>
          <w:b/>
        </w:rPr>
        <w:t>, 2018</w:t>
      </w:r>
      <w:r>
        <w:rPr>
          <w:b/>
        </w:rPr>
        <w:t xml:space="preserve">) — </w:t>
      </w:r>
      <w:r>
        <w:t>The Council of Chief State School Officers (CCSSO), Education Strategy Group (ESG), and Advance CTE today released a series of recommendations to support states as they work to increase student attainment</w:t>
      </w:r>
      <w:r w:rsidR="002076F9">
        <w:t xml:space="preserve"> of</w:t>
      </w:r>
      <w:r>
        <w:t xml:space="preserve"> industry-recognized credentials that have value in the workforce and higher education.</w:t>
      </w:r>
    </w:p>
    <w:p w14:paraId="4A39EC00" w14:textId="77777777" w:rsidR="002076F9" w:rsidRDefault="002076F9" w:rsidP="00CB69E0">
      <w:pPr>
        <w:pStyle w:val="NoSpacing"/>
      </w:pPr>
    </w:p>
    <w:p w14:paraId="2B1F9385" w14:textId="19C69E11" w:rsidR="002076F9" w:rsidRDefault="002076F9" w:rsidP="00CB69E0">
      <w:pPr>
        <w:pStyle w:val="NoSpacing"/>
      </w:pPr>
      <w:r>
        <w:t xml:space="preserve">Postsecondary credentials </w:t>
      </w:r>
      <w:r w:rsidR="006E0B56">
        <w:t>provide a critical gateway</w:t>
      </w:r>
      <w:r>
        <w:t xml:space="preserve"> to economic prosperity for students</w:t>
      </w:r>
      <w:r w:rsidR="0002346D">
        <w:t xml:space="preserve">, and </w:t>
      </w:r>
      <w:r>
        <w:t xml:space="preserve">the universe of options has expanded beyond traditional </w:t>
      </w:r>
      <w:r w:rsidR="00823606">
        <w:t>bachelor</w:t>
      </w:r>
      <w:r>
        <w:t xml:space="preserve"> degree</w:t>
      </w:r>
      <w:r w:rsidR="00EF4039">
        <w:t>s</w:t>
      </w:r>
      <w:r>
        <w:t xml:space="preserve"> to include</w:t>
      </w:r>
      <w:r w:rsidR="008C2D26">
        <w:t xml:space="preserve"> associate degrees,</w:t>
      </w:r>
      <w:r>
        <w:t xml:space="preserve"> profes</w:t>
      </w:r>
      <w:r w:rsidR="008C2D26">
        <w:t xml:space="preserve">sional licenses, and certificates. </w:t>
      </w:r>
      <w:r w:rsidR="00EF4039">
        <w:t>With</w:t>
      </w:r>
      <w:r w:rsidR="008C2D26">
        <w:t xml:space="preserve"> over 4,000 credentialing bodies nationwide </w:t>
      </w:r>
      <w:r w:rsidR="006F15C9">
        <w:t>offer</w:t>
      </w:r>
      <w:r w:rsidR="0002346D">
        <w:t>ing</w:t>
      </w:r>
      <w:r w:rsidR="008C2D26">
        <w:t xml:space="preserve"> thousands of industry-recognized credentials, </w:t>
      </w:r>
      <w:r w:rsidR="00EF4039">
        <w:t xml:space="preserve">identifying which </w:t>
      </w:r>
      <w:r w:rsidR="009819A7">
        <w:t>of those has</w:t>
      </w:r>
      <w:r w:rsidR="00EF4039">
        <w:t xml:space="preserve"> value—and prioritizing attainment of those credentials—</w:t>
      </w:r>
      <w:r w:rsidR="008C2D26">
        <w:t>is critical as states work to support students in a shifting economy.</w:t>
      </w:r>
    </w:p>
    <w:p w14:paraId="756B0EC9" w14:textId="77777777" w:rsidR="008C2D26" w:rsidRDefault="008C2D26" w:rsidP="00CB69E0">
      <w:pPr>
        <w:pStyle w:val="NoSpacing"/>
      </w:pPr>
    </w:p>
    <w:p w14:paraId="38FF3293" w14:textId="7153ECE3" w:rsidR="004A2F30" w:rsidRPr="004A2F30" w:rsidRDefault="004A2F30" w:rsidP="004A2F30">
      <w:pPr>
        <w:rPr>
          <w:rFonts w:ascii="Times New Roman" w:eastAsia="Times New Roman" w:hAnsi="Times New Roman" w:cs="Times New Roman"/>
          <w:sz w:val="24"/>
          <w:szCs w:val="24"/>
        </w:rPr>
      </w:pPr>
      <w:r w:rsidRPr="004A2F30">
        <w:rPr>
          <w:rFonts w:eastAsia="Times New Roman" w:cs="Times New Roman"/>
          <w:color w:val="000000"/>
        </w:rPr>
        <w:t>"Across the country, states are taking the initiative to increase the number of kids who are prepared for success in both college</w:t>
      </w:r>
      <w:r w:rsidRPr="004A2F30">
        <w:rPr>
          <w:rFonts w:eastAsia="Times New Roman" w:cs="Times New Roman"/>
          <w:i/>
          <w:iCs/>
          <w:color w:val="000000"/>
        </w:rPr>
        <w:t> </w:t>
      </w:r>
      <w:r w:rsidR="0053080D">
        <w:rPr>
          <w:rFonts w:eastAsia="Times New Roman" w:cs="Times New Roman"/>
          <w:color w:val="000000"/>
        </w:rPr>
        <w:t xml:space="preserve">and a career,” said Carissa </w:t>
      </w:r>
      <w:r w:rsidR="003E3D2D">
        <w:rPr>
          <w:rFonts w:eastAsia="Times New Roman" w:cs="Times New Roman"/>
          <w:color w:val="000000"/>
        </w:rPr>
        <w:t>Moffa</w:t>
      </w:r>
      <w:r w:rsidR="0053080D">
        <w:rPr>
          <w:rFonts w:eastAsia="Times New Roman" w:cs="Times New Roman"/>
          <w:color w:val="000000"/>
        </w:rPr>
        <w:t>t Miller, executive director of CCSSO.</w:t>
      </w:r>
      <w:r w:rsidRPr="004A2F30">
        <w:rPr>
          <w:rFonts w:eastAsia="Times New Roman" w:cs="Times New Roman"/>
          <w:color w:val="000000"/>
        </w:rPr>
        <w:t xml:space="preserve"> </w:t>
      </w:r>
      <w:r w:rsidR="0053080D">
        <w:rPr>
          <w:rFonts w:eastAsia="Times New Roman" w:cs="Times New Roman"/>
          <w:color w:val="000000"/>
        </w:rPr>
        <w:t>“</w:t>
      </w:r>
      <w:r w:rsidRPr="004A2F30">
        <w:rPr>
          <w:rFonts w:eastAsia="Times New Roman" w:cs="Times New Roman"/>
          <w:color w:val="000000"/>
        </w:rPr>
        <w:t>Every child should have access to a high-quality education that provides pathways into college and a career and because those pathways often require postsecondary credentials, it is critically important that we support states in their efforts to ensure that they are meaningful, and that all students are provided equitable access to attaining them."</w:t>
      </w:r>
    </w:p>
    <w:p w14:paraId="5FC0F684" w14:textId="77777777" w:rsidR="006F177D" w:rsidRDefault="006F177D" w:rsidP="00CB69E0">
      <w:pPr>
        <w:pStyle w:val="NoSpacing"/>
      </w:pPr>
    </w:p>
    <w:p w14:paraId="08BE14C7" w14:textId="227CE724" w:rsidR="006F177D" w:rsidRDefault="009537B8" w:rsidP="00CB69E0">
      <w:pPr>
        <w:pStyle w:val="NoSpacing"/>
      </w:pPr>
      <w:r>
        <w:t>“</w:t>
      </w:r>
      <w:r w:rsidR="00A667C2">
        <w:t xml:space="preserve">States have taken a </w:t>
      </w:r>
      <w:r w:rsidR="000B2BFC">
        <w:t xml:space="preserve">huge step forward </w:t>
      </w:r>
      <w:r w:rsidR="00DB00BE">
        <w:t>by recognizing that a high school diploma isn’t enough to open the door to meaningful career opportunities for students</w:t>
      </w:r>
      <w:r w:rsidR="000B2BFC" w:rsidRPr="000B2BFC">
        <w:t xml:space="preserve">,” </w:t>
      </w:r>
      <w:r w:rsidRPr="000B2BFC">
        <w:t xml:space="preserve">said Matt </w:t>
      </w:r>
      <w:proofErr w:type="spellStart"/>
      <w:r w:rsidRPr="000B2BFC">
        <w:t>Gandal</w:t>
      </w:r>
      <w:proofErr w:type="spellEnd"/>
      <w:r w:rsidR="00BE00F6" w:rsidRPr="000B2BFC">
        <w:t>, presid</w:t>
      </w:r>
      <w:r w:rsidR="0053080D" w:rsidRPr="000B2BFC">
        <w:t>ent of Education Strategy Group.</w:t>
      </w:r>
      <w:r w:rsidRPr="000B2BFC">
        <w:t xml:space="preserve"> </w:t>
      </w:r>
      <w:r w:rsidR="0053080D" w:rsidRPr="000B2BFC">
        <w:t>“</w:t>
      </w:r>
      <w:r w:rsidR="00DB00BE">
        <w:t>But there are thousands of industry credentials available in this country and few mechanisms for deciphering which ones are valuable</w:t>
      </w:r>
      <w:r w:rsidR="00EF5123">
        <w:t xml:space="preserve">. </w:t>
      </w:r>
      <w:r w:rsidR="000B2BFC" w:rsidRPr="000B2BFC">
        <w:t>States must ensure that they are incentivizing</w:t>
      </w:r>
      <w:r w:rsidR="005D4D97" w:rsidRPr="000B2BFC">
        <w:t xml:space="preserve"> cr</w:t>
      </w:r>
      <w:r w:rsidR="0053080D" w:rsidRPr="000B2BFC">
        <w:t>edentials</w:t>
      </w:r>
      <w:r w:rsidR="000B2BFC" w:rsidRPr="000B2BFC">
        <w:t xml:space="preserve"> that </w:t>
      </w:r>
      <w:r w:rsidR="00EF5123">
        <w:t>are truly valued by employers</w:t>
      </w:r>
      <w:r w:rsidR="0053080D" w:rsidRPr="000B2BFC">
        <w:t xml:space="preserve">, </w:t>
      </w:r>
      <w:r w:rsidR="000B2BFC" w:rsidRPr="000B2BFC">
        <w:t xml:space="preserve">otherwise they could be leading </w:t>
      </w:r>
      <w:r w:rsidR="0053080D" w:rsidRPr="000B2BFC">
        <w:t xml:space="preserve">students </w:t>
      </w:r>
      <w:r w:rsidR="005D4D97" w:rsidRPr="000B2BFC">
        <w:t xml:space="preserve">down paths </w:t>
      </w:r>
      <w:r w:rsidR="00122A3B" w:rsidRPr="000B2BFC">
        <w:t>that close off their long-term economic opportunities.”</w:t>
      </w:r>
    </w:p>
    <w:p w14:paraId="0B52CF88" w14:textId="3440D001" w:rsidR="00EF4039" w:rsidRDefault="00EF4039" w:rsidP="00CB69E0">
      <w:pPr>
        <w:pStyle w:val="NoSpacing"/>
      </w:pPr>
    </w:p>
    <w:p w14:paraId="1B3BD088" w14:textId="69234099" w:rsidR="006E0B56" w:rsidRDefault="006E0B56" w:rsidP="00CB69E0">
      <w:pPr>
        <w:pStyle w:val="NoSpacing"/>
      </w:pPr>
      <w:r>
        <w:t xml:space="preserve">Earning </w:t>
      </w:r>
      <w:r w:rsidR="006F177D">
        <w:t>a credential of value can open doors to economic opportunity for students</w:t>
      </w:r>
      <w:r w:rsidR="006828A7">
        <w:t xml:space="preserve">. </w:t>
      </w:r>
      <w:r w:rsidR="009819A7" w:rsidRPr="009819A7">
        <w:t xml:space="preserve"> </w:t>
      </w:r>
      <w:r w:rsidR="009819A7">
        <w:t xml:space="preserve">While bachelor’s degrees </w:t>
      </w:r>
      <w:r w:rsidR="004813EB">
        <w:t>continue to be strong</w:t>
      </w:r>
      <w:r w:rsidR="009819A7">
        <w:t xml:space="preserve"> currency in the labor market, there are over 30 million </w:t>
      </w:r>
      <w:r w:rsidR="004813EB">
        <w:t>good</w:t>
      </w:r>
      <w:r w:rsidR="009819A7">
        <w:t xml:space="preserve"> jobs nationwide that are held by those with sub-baccalaureate credentials.  In this economic environment, s</w:t>
      </w:r>
      <w:r w:rsidR="006828A7">
        <w:t xml:space="preserve">tudents and their families need clearer information about </w:t>
      </w:r>
      <w:r w:rsidR="00FF5484">
        <w:t xml:space="preserve">the </w:t>
      </w:r>
      <w:r w:rsidR="009819A7">
        <w:t>credentialing</w:t>
      </w:r>
      <w:r w:rsidR="00FF5484">
        <w:t xml:space="preserve"> demands </w:t>
      </w:r>
      <w:r w:rsidR="00107559">
        <w:t xml:space="preserve">of employers, </w:t>
      </w:r>
      <w:r w:rsidR="006828A7">
        <w:t xml:space="preserve">including which </w:t>
      </w:r>
      <w:r w:rsidR="00107559">
        <w:t xml:space="preserve">can improve students’ job opportunities and wage potential. </w:t>
      </w:r>
    </w:p>
    <w:p w14:paraId="2AE7688F" w14:textId="77777777" w:rsidR="008E25C7" w:rsidRDefault="008E25C7" w:rsidP="00CB69E0">
      <w:pPr>
        <w:pStyle w:val="NoSpacing"/>
      </w:pPr>
    </w:p>
    <w:p w14:paraId="576FB5DC" w14:textId="50101FEF" w:rsidR="00EF4039" w:rsidRDefault="00817262" w:rsidP="00CB69E0">
      <w:pPr>
        <w:pStyle w:val="NoSpacing"/>
      </w:pPr>
      <w:hyperlink r:id="rId7" w:history="1">
        <w:r w:rsidR="00697098" w:rsidRPr="00FE384B">
          <w:rPr>
            <w:rStyle w:val="Hyperlink"/>
            <w:i/>
          </w:rPr>
          <w:t>Credential Currency: How States Can Identify and Promote Credentials of Value</w:t>
        </w:r>
      </w:hyperlink>
      <w:r w:rsidR="00EF4039">
        <w:t xml:space="preserve"> introduces a roadmap for states to </w:t>
      </w:r>
      <w:r w:rsidR="008E25C7">
        <w:t xml:space="preserve">ensure that students pursue and attain </w:t>
      </w:r>
      <w:r w:rsidR="004813EB">
        <w:t xml:space="preserve">industry-recognized </w:t>
      </w:r>
      <w:r w:rsidR="008E25C7">
        <w:t>credentials with real value in the marketplace. From creating</w:t>
      </w:r>
      <w:r w:rsidR="00EF4039">
        <w:t xml:space="preserve"> a priority list of credentials to </w:t>
      </w:r>
      <w:r w:rsidR="004813EB">
        <w:t xml:space="preserve">helping significantly more </w:t>
      </w:r>
      <w:r w:rsidR="00EF4039">
        <w:t xml:space="preserve">students </w:t>
      </w:r>
      <w:r w:rsidR="004813EB">
        <w:t>earn those credentials</w:t>
      </w:r>
      <w:r w:rsidR="00697098">
        <w:t xml:space="preserve">, </w:t>
      </w:r>
      <w:r w:rsidR="008E25C7">
        <w:rPr>
          <w:i/>
        </w:rPr>
        <w:t>Credential Currency</w:t>
      </w:r>
      <w:r w:rsidR="008E25C7">
        <w:t xml:space="preserve"> covers common barriers, recommended strategies, and opportunities to further advance the work</w:t>
      </w:r>
      <w:r w:rsidR="00EF4039">
        <w:t>.</w:t>
      </w:r>
    </w:p>
    <w:p w14:paraId="73A08F2A" w14:textId="77777777" w:rsidR="00EF4039" w:rsidRDefault="00EF4039" w:rsidP="00CB69E0">
      <w:pPr>
        <w:pStyle w:val="NoSpacing"/>
      </w:pPr>
    </w:p>
    <w:p w14:paraId="71A131B8" w14:textId="74372C54" w:rsidR="00EF4039" w:rsidRDefault="0098409E" w:rsidP="00CB69E0">
      <w:pPr>
        <w:pStyle w:val="NoSpacing"/>
      </w:pPr>
      <w:r>
        <w:t xml:space="preserve">The report specifically recommends that states focus on three </w:t>
      </w:r>
      <w:r w:rsidR="004813EB">
        <w:t>priorities</w:t>
      </w:r>
      <w:r>
        <w:t>:</w:t>
      </w:r>
    </w:p>
    <w:p w14:paraId="059F7B1B" w14:textId="79C9F437" w:rsidR="0098409E" w:rsidRPr="0098409E" w:rsidRDefault="00A45A19" w:rsidP="0098409E">
      <w:pPr>
        <w:pStyle w:val="NoSpacing"/>
        <w:numPr>
          <w:ilvl w:val="0"/>
          <w:numId w:val="1"/>
        </w:numPr>
      </w:pPr>
      <w:bookmarkStart w:id="0" w:name="_GoBack"/>
      <w:bookmarkEnd w:id="0"/>
      <w:r>
        <w:rPr>
          <w:b/>
        </w:rPr>
        <w:lastRenderedPageBreak/>
        <w:t>Identifying h</w:t>
      </w:r>
      <w:r w:rsidR="0098409E">
        <w:rPr>
          <w:b/>
        </w:rPr>
        <w:t>igh-</w:t>
      </w:r>
      <w:r>
        <w:rPr>
          <w:b/>
        </w:rPr>
        <w:t>v</w:t>
      </w:r>
      <w:r w:rsidR="0098409E">
        <w:rPr>
          <w:b/>
        </w:rPr>
        <w:t xml:space="preserve">alue </w:t>
      </w:r>
      <w:r>
        <w:rPr>
          <w:b/>
        </w:rPr>
        <w:t>c</w:t>
      </w:r>
      <w:r w:rsidR="0098409E">
        <w:rPr>
          <w:b/>
        </w:rPr>
        <w:t>redentials</w:t>
      </w:r>
      <w:r w:rsidR="00AE31BC">
        <w:rPr>
          <w:b/>
        </w:rPr>
        <w:t xml:space="preserve">. </w:t>
      </w:r>
      <w:r w:rsidR="00AE31BC">
        <w:t>Em</w:t>
      </w:r>
      <w:r w:rsidR="003D2DF1">
        <w:t xml:space="preserve">ployers must serve as a lighthouse as states work to identify which credentials have value. </w:t>
      </w:r>
      <w:r w:rsidR="003D2DF1" w:rsidRPr="003D2DF1">
        <w:t xml:space="preserve">States </w:t>
      </w:r>
      <w:r w:rsidR="003D2DF1">
        <w:t>can</w:t>
      </w:r>
      <w:r w:rsidR="003D2DF1" w:rsidRPr="003D2DF1">
        <w:t xml:space="preserve"> harness employer signals in job postings, hiring decisions, and employee pay</w:t>
      </w:r>
      <w:r w:rsidR="003D2DF1">
        <w:t xml:space="preserve">. And they can </w:t>
      </w:r>
      <w:r w:rsidR="003D2DF1" w:rsidRPr="003D2DF1">
        <w:t xml:space="preserve">prioritize credentials that count for or </w:t>
      </w:r>
      <w:r w:rsidR="003D2DF1">
        <w:t>stack</w:t>
      </w:r>
      <w:r w:rsidR="003D2DF1" w:rsidRPr="003D2DF1">
        <w:t xml:space="preserve"> to postsecondary credit</w:t>
      </w:r>
      <w:r w:rsidR="003D2DF1">
        <w:t>.</w:t>
      </w:r>
      <w:r w:rsidR="0098409E">
        <w:rPr>
          <w:b/>
        </w:rPr>
        <w:t xml:space="preserve"> </w:t>
      </w:r>
    </w:p>
    <w:p w14:paraId="3C93654D" w14:textId="6E2FB0FE" w:rsidR="0098409E" w:rsidRPr="0098409E" w:rsidRDefault="00A45A19" w:rsidP="0098409E">
      <w:pPr>
        <w:pStyle w:val="NoSpacing"/>
        <w:numPr>
          <w:ilvl w:val="0"/>
          <w:numId w:val="1"/>
        </w:numPr>
      </w:pPr>
      <w:r>
        <w:rPr>
          <w:b/>
        </w:rPr>
        <w:t>Incentivizing a</w:t>
      </w:r>
      <w:r w:rsidR="0098409E">
        <w:rPr>
          <w:b/>
        </w:rPr>
        <w:t xml:space="preserve">ttainment of </w:t>
      </w:r>
      <w:r>
        <w:rPr>
          <w:b/>
        </w:rPr>
        <w:t>high-value</w:t>
      </w:r>
      <w:r w:rsidR="0098409E">
        <w:rPr>
          <w:b/>
        </w:rPr>
        <w:t xml:space="preserve"> </w:t>
      </w:r>
      <w:r>
        <w:rPr>
          <w:b/>
        </w:rPr>
        <w:t>c</w:t>
      </w:r>
      <w:r w:rsidR="0098409E">
        <w:rPr>
          <w:b/>
        </w:rPr>
        <w:t>redentials</w:t>
      </w:r>
      <w:r w:rsidR="00AE31BC">
        <w:rPr>
          <w:b/>
        </w:rPr>
        <w:t>.</w:t>
      </w:r>
      <w:r>
        <w:rPr>
          <w:b/>
        </w:rPr>
        <w:t xml:space="preserve"> </w:t>
      </w:r>
      <w:r w:rsidR="00AE31BC">
        <w:t xml:space="preserve">States can and should catalyze high-value credential attainment </w:t>
      </w:r>
      <w:r w:rsidR="003D2DF1">
        <w:t xml:space="preserve">through a robust set of incentives. That includes </w:t>
      </w:r>
      <w:r>
        <w:t xml:space="preserve">demonstrating the impact credentials have on students’ futures, promoting school and district prioritization of high-value credentials through funding and accountability </w:t>
      </w:r>
      <w:r w:rsidR="002010C1">
        <w:t>policies</w:t>
      </w:r>
      <w:r>
        <w:t>, and communicating publicly the importance of specific credentials; and</w:t>
      </w:r>
    </w:p>
    <w:p w14:paraId="4AACA7C6" w14:textId="332F17B0" w:rsidR="0098409E" w:rsidRDefault="0098409E" w:rsidP="0098409E">
      <w:pPr>
        <w:pStyle w:val="NoSpacing"/>
        <w:numPr>
          <w:ilvl w:val="0"/>
          <w:numId w:val="1"/>
        </w:numPr>
      </w:pPr>
      <w:r>
        <w:rPr>
          <w:b/>
        </w:rPr>
        <w:t xml:space="preserve">Collecting and </w:t>
      </w:r>
      <w:r w:rsidR="00A45A19">
        <w:rPr>
          <w:b/>
        </w:rPr>
        <w:t>reporting credential attainment d</w:t>
      </w:r>
      <w:r>
        <w:rPr>
          <w:b/>
        </w:rPr>
        <w:t>ata</w:t>
      </w:r>
      <w:r w:rsidR="00AE31BC">
        <w:rPr>
          <w:b/>
        </w:rPr>
        <w:t>.</w:t>
      </w:r>
      <w:r w:rsidR="00A45A19">
        <w:rPr>
          <w:b/>
        </w:rPr>
        <w:t xml:space="preserve"> </w:t>
      </w:r>
      <w:r w:rsidR="003D2DF1">
        <w:t xml:space="preserve">States can set forth </w:t>
      </w:r>
      <w:r w:rsidR="00A45A19">
        <w:t xml:space="preserve">new expectations for data collection and quality that </w:t>
      </w:r>
      <w:r w:rsidR="002010C1">
        <w:t>bypass</w:t>
      </w:r>
      <w:r w:rsidR="00A45A19">
        <w:t xml:space="preserve"> self-reported information</w:t>
      </w:r>
      <w:r w:rsidR="002010C1">
        <w:t xml:space="preserve"> to</w:t>
      </w:r>
      <w:r w:rsidR="00A3185C">
        <w:t xml:space="preserve"> more reliably report industry</w:t>
      </w:r>
      <w:r w:rsidR="003D2DF1">
        <w:t>-recognized</w:t>
      </w:r>
      <w:r w:rsidR="00A3185C">
        <w:t xml:space="preserve"> credential attainment</w:t>
      </w:r>
      <w:r w:rsidR="00A45A19">
        <w:t>.</w:t>
      </w:r>
    </w:p>
    <w:p w14:paraId="69FAAEB9" w14:textId="77777777" w:rsidR="000A0AED" w:rsidRDefault="000A0AED" w:rsidP="00CB69E0">
      <w:pPr>
        <w:pStyle w:val="NoSpacing"/>
      </w:pPr>
    </w:p>
    <w:p w14:paraId="59B9A8A4" w14:textId="3D86B76A" w:rsidR="00E6549D" w:rsidRPr="0098409E" w:rsidRDefault="00B6245F" w:rsidP="00CB69E0">
      <w:pPr>
        <w:pStyle w:val="NoSpacing"/>
      </w:pPr>
      <w:r>
        <w:rPr>
          <w:i/>
        </w:rPr>
        <w:t>Credential Currency</w:t>
      </w:r>
      <w:r>
        <w:t xml:space="preserve"> </w:t>
      </w:r>
      <w:r w:rsidR="00E6549D">
        <w:t xml:space="preserve">is part of the </w:t>
      </w:r>
      <w:r w:rsidR="0098409E">
        <w:t>larger New Skills for Youth initiative, supported by J</w:t>
      </w:r>
      <w:r w:rsidR="006F3EA4">
        <w:t>.</w:t>
      </w:r>
      <w:r w:rsidR="0098409E">
        <w:t>P</w:t>
      </w:r>
      <w:r w:rsidR="006F3EA4">
        <w:t>.</w:t>
      </w:r>
      <w:r w:rsidR="0098409E">
        <w:t xml:space="preserve"> Morgan Chase</w:t>
      </w:r>
      <w:r>
        <w:t xml:space="preserve"> &amp; Co.</w:t>
      </w:r>
      <w:r w:rsidR="0098409E">
        <w:t xml:space="preserve"> to help states strengthen and expand their career </w:t>
      </w:r>
      <w:r>
        <w:t>preparation systems</w:t>
      </w:r>
      <w:r w:rsidR="0098409E">
        <w:t xml:space="preserve">. </w:t>
      </w:r>
      <w:r w:rsidRPr="00B6245F">
        <w:t>The report</w:t>
      </w:r>
      <w:r w:rsidR="0098409E">
        <w:t xml:space="preserve"> is an outgrowth of that work—recognizing that high-quality credentials are foundational for career pathways that lead to economic opportunity.</w:t>
      </w:r>
    </w:p>
    <w:p w14:paraId="38FEA101" w14:textId="77777777" w:rsidR="003E3D2D" w:rsidRDefault="003E3D2D" w:rsidP="003E3D2D">
      <w:pPr>
        <w:pStyle w:val="NoSpacing"/>
      </w:pPr>
    </w:p>
    <w:p w14:paraId="0E0A3778" w14:textId="3CD97E3C" w:rsidR="003E3D2D" w:rsidRDefault="0041000B" w:rsidP="003E3D2D">
      <w:pPr>
        <w:pStyle w:val="NoSpacing"/>
      </w:pPr>
      <w:r w:rsidRPr="00C004C4">
        <w:t>“</w:t>
      </w:r>
      <w:r w:rsidR="000B690F" w:rsidRPr="000B690F">
        <w:t>Without the right skills and meaningful postsecondary credentials, many young people entering the labor market find themselves stuck in low-skill, low-wage jobs or, worse, unemployed and out of school</w:t>
      </w:r>
      <w:r w:rsidR="00C004C4" w:rsidRPr="00C004C4">
        <w:t xml:space="preserve">,” said </w:t>
      </w:r>
      <w:r w:rsidR="000B690F">
        <w:t xml:space="preserve">Jennie </w:t>
      </w:r>
      <w:proofErr w:type="spellStart"/>
      <w:r w:rsidR="000B690F">
        <w:t>Sparandara</w:t>
      </w:r>
      <w:proofErr w:type="spellEnd"/>
      <w:r w:rsidR="000B690F">
        <w:t>, head of workforce i</w:t>
      </w:r>
      <w:r w:rsidR="000B690F" w:rsidRPr="000B690F">
        <w:t>nitiatives, JPMorgan Chase</w:t>
      </w:r>
      <w:r w:rsidRPr="00C004C4">
        <w:t xml:space="preserve">.  </w:t>
      </w:r>
      <w:r w:rsidR="00C004C4" w:rsidRPr="00C004C4">
        <w:t>“</w:t>
      </w:r>
      <w:r w:rsidRPr="00C004C4">
        <w:t>This report provides a much-needed road map for states to work with their employer community to invest in high quality pathways anchored in credentials that open doors to economic and career success.”</w:t>
      </w:r>
    </w:p>
    <w:p w14:paraId="017E49B3" w14:textId="77777777" w:rsidR="00E6549D" w:rsidRDefault="00E6549D" w:rsidP="00CB69E0">
      <w:pPr>
        <w:pStyle w:val="NoSpacing"/>
      </w:pPr>
    </w:p>
    <w:p w14:paraId="45D6440E" w14:textId="40780C1C" w:rsidR="008C2D26" w:rsidRDefault="00697098" w:rsidP="00CB69E0">
      <w:pPr>
        <w:pStyle w:val="NoSpacing"/>
      </w:pPr>
      <w:r>
        <w:t xml:space="preserve">The recommendations in </w:t>
      </w:r>
      <w:r w:rsidR="00E6549D">
        <w:rPr>
          <w:i/>
        </w:rPr>
        <w:t>Credential Currency</w:t>
      </w:r>
      <w:r>
        <w:t xml:space="preserve"> are </w:t>
      </w:r>
      <w:r w:rsidR="00E6549D">
        <w:t>derived from</w:t>
      </w:r>
      <w:r w:rsidR="00040B94">
        <w:t xml:space="preserve"> the Career Readiness Expert Workgroup (CREW)</w:t>
      </w:r>
      <w:r w:rsidR="00E6549D">
        <w:t>. F</w:t>
      </w:r>
      <w:r w:rsidR="00040B94">
        <w:t>acilitated by ESG, CCSSO, and Advance CTE, the CREW</w:t>
      </w:r>
      <w:r w:rsidR="00E6549D">
        <w:t xml:space="preserve"> </w:t>
      </w:r>
      <w:r w:rsidR="002556DF">
        <w:t>worked</w:t>
      </w:r>
      <w:r w:rsidR="00E6549D">
        <w:t xml:space="preserve"> to</w:t>
      </w:r>
      <w:r w:rsidR="00040B94">
        <w:t xml:space="preserve"> identif</w:t>
      </w:r>
      <w:r w:rsidR="00E6549D">
        <w:t xml:space="preserve">y </w:t>
      </w:r>
      <w:r w:rsidR="00040B94">
        <w:t xml:space="preserve">best practices that states can adopt to support students in attaining </w:t>
      </w:r>
      <w:r w:rsidR="00B6245F">
        <w:t xml:space="preserve">industry </w:t>
      </w:r>
      <w:r w:rsidR="00040B94">
        <w:t xml:space="preserve">credentials that connect to continuing education and good jobs. CREW members included leaders from state education agencies, business and industry associations, philanthropy, and policy and research organizations. </w:t>
      </w:r>
    </w:p>
    <w:p w14:paraId="400997F3" w14:textId="77777777" w:rsidR="006F3EA4" w:rsidRDefault="006F3EA4" w:rsidP="00CB69E0">
      <w:pPr>
        <w:pStyle w:val="NoSpacing"/>
      </w:pPr>
    </w:p>
    <w:p w14:paraId="08783179" w14:textId="77777777" w:rsidR="003E3D2D" w:rsidRDefault="003E3D2D" w:rsidP="003E3D2D">
      <w:pPr>
        <w:pStyle w:val="NoSpacing"/>
      </w:pPr>
      <w:r>
        <w:rPr>
          <w:i/>
        </w:rPr>
        <w:t xml:space="preserve">Credential Currency </w:t>
      </w:r>
      <w:r>
        <w:t>also aims to assist states in their efforts to increase equity in education. By prioritizing only those credentials that connect students to high-skill, high-demand, high-wage jobs or accelerate their progress through postsecondary education—and expanding access to those credentials for all students—states can ensure that all students are equipped with the skills and knowledge necessary for success after high school.</w:t>
      </w:r>
    </w:p>
    <w:p w14:paraId="47FDAB32" w14:textId="77777777" w:rsidR="008C2D26" w:rsidRDefault="008C2D26" w:rsidP="00CB69E0">
      <w:pPr>
        <w:pStyle w:val="NoSpacing"/>
      </w:pPr>
    </w:p>
    <w:p w14:paraId="29758F0C" w14:textId="1983AD5D" w:rsidR="0053080D" w:rsidRDefault="00061A96" w:rsidP="0053080D">
      <w:pPr>
        <w:pStyle w:val="NoSpacing"/>
      </w:pPr>
      <w:r>
        <w:t xml:space="preserve"> “</w:t>
      </w:r>
      <w:r w:rsidRPr="00061A96">
        <w:t xml:space="preserve">Prioritizing high-quality credentials is a matter of equity. We must ensure that the credentials earned in K-12 set up students--especially those from special populations--for meaningful postsecondary and </w:t>
      </w:r>
      <w:r w:rsidR="00FE2CDF">
        <w:t>career</w:t>
      </w:r>
      <w:r w:rsidRPr="00061A96">
        <w:t xml:space="preserve"> opportunities. We are heartened to see state leaders work to</w:t>
      </w:r>
      <w:r w:rsidR="00FE2CDF">
        <w:t xml:space="preserve"> identify quality credentials,</w:t>
      </w:r>
      <w:r w:rsidRPr="00061A96">
        <w:t xml:space="preserve"> close equity gaps and open paths to economic success for students</w:t>
      </w:r>
      <w:r>
        <w:t>,” said Kim Green, executive director of Advance CTE</w:t>
      </w:r>
      <w:r w:rsidR="00FE2CDF">
        <w:t>.</w:t>
      </w:r>
    </w:p>
    <w:p w14:paraId="0AA16A0B" w14:textId="77777777" w:rsidR="0053080D" w:rsidRDefault="0053080D" w:rsidP="00CB69E0">
      <w:pPr>
        <w:pStyle w:val="NoSpacing"/>
      </w:pPr>
    </w:p>
    <w:p w14:paraId="7B26C63C" w14:textId="77777777" w:rsidR="003E3D2D" w:rsidRDefault="003E3D2D" w:rsidP="003E3D2D">
      <w:pPr>
        <w:pStyle w:val="NoSpacing"/>
      </w:pPr>
      <w:r>
        <w:t xml:space="preserve">States are poised to move the needle on credential attainment. Forty-one states have set postsecondary attainment goals aligned to future workforce projections. And </w:t>
      </w:r>
      <w:r w:rsidRPr="006F177D">
        <w:t>K-12 has made credential attainment a focus, with over half the states building new metrics into their high school accountability systems to encou</w:t>
      </w:r>
      <w:r>
        <w:t>rage students to earn industry-recognized c</w:t>
      </w:r>
      <w:r w:rsidRPr="006F177D">
        <w:t>redentials</w:t>
      </w:r>
      <w:r>
        <w:t>.</w:t>
      </w:r>
      <w:r w:rsidRPr="006F177D">
        <w:t xml:space="preserve"> </w:t>
      </w:r>
    </w:p>
    <w:p w14:paraId="6D1B6E36" w14:textId="77777777" w:rsidR="00F30277" w:rsidRDefault="00F30277" w:rsidP="006F3EA4">
      <w:pPr>
        <w:pStyle w:val="NoSpacing"/>
      </w:pPr>
    </w:p>
    <w:p w14:paraId="4BDDE9CB" w14:textId="7A93E2C8" w:rsidR="006F3EA4" w:rsidRDefault="009C3B76" w:rsidP="006F3EA4">
      <w:pPr>
        <w:pStyle w:val="NoSpacing"/>
      </w:pPr>
      <w:r>
        <w:t>Much work remains to support states</w:t>
      </w:r>
      <w:r w:rsidR="00F30277">
        <w:t xml:space="preserve"> navigating toward a coherent list of </w:t>
      </w:r>
      <w:r>
        <w:t>priority credentials. W</w:t>
      </w:r>
      <w:r w:rsidR="00F30277">
        <w:t xml:space="preserve">hile states are at different stages in their </w:t>
      </w:r>
      <w:r w:rsidR="00333A19">
        <w:t xml:space="preserve">efforts </w:t>
      </w:r>
      <w:r w:rsidR="00F30277">
        <w:t>to identify high-value credentials and incentivize and monitor attainment, all states can use this report to move their credentialing work forward and ensure that all students are ready for college</w:t>
      </w:r>
      <w:r w:rsidR="007A1C12">
        <w:t xml:space="preserve">, </w:t>
      </w:r>
      <w:r w:rsidR="00F30277">
        <w:t>career</w:t>
      </w:r>
      <w:r w:rsidR="007A1C12">
        <w:t>, and life</w:t>
      </w:r>
      <w:r w:rsidR="00F30277">
        <w:t>.</w:t>
      </w:r>
    </w:p>
    <w:p w14:paraId="0BA143D3" w14:textId="77777777" w:rsidR="00F30277" w:rsidRDefault="00F30277" w:rsidP="006F3EA4">
      <w:pPr>
        <w:pStyle w:val="NoSpacing"/>
      </w:pPr>
    </w:p>
    <w:p w14:paraId="52F33CF4" w14:textId="44220ADB" w:rsidR="006F3EA4" w:rsidRPr="00FE384B" w:rsidRDefault="00F30277" w:rsidP="00FE384B">
      <w:pPr>
        <w:rPr>
          <w:rFonts w:eastAsia="Times New Roman"/>
          <w:sz w:val="24"/>
          <w:szCs w:val="24"/>
        </w:rPr>
      </w:pPr>
      <w:r>
        <w:t xml:space="preserve">For more information, download </w:t>
      </w:r>
      <w:r>
        <w:rPr>
          <w:i/>
        </w:rPr>
        <w:t>Credential Currency: How States Can Identify and Promote Credentials of Value</w:t>
      </w:r>
      <w:r>
        <w:t xml:space="preserve"> at </w:t>
      </w:r>
      <w:hyperlink r:id="rId8" w:tgtFrame="_blank" w:history="1">
        <w:r w:rsidR="00FE384B">
          <w:rPr>
            <w:rStyle w:val="Hyperlink"/>
            <w:rFonts w:ascii="Arial" w:eastAsia="Times New Roman" w:hAnsi="Arial" w:cs="Arial"/>
            <w:color w:val="1155CC"/>
          </w:rPr>
          <w:t>https://ccsso.org/resource-library/credential-currency-how-states-can-identify-and-promote-credentials-value</w:t>
        </w:r>
      </w:hyperlink>
      <w:r w:rsidR="00FE384B">
        <w:rPr>
          <w:rFonts w:eastAsia="Times New Roman"/>
        </w:rPr>
        <w:t>.</w:t>
      </w:r>
    </w:p>
    <w:p w14:paraId="59BA29B9" w14:textId="77777777" w:rsidR="00CB69E0" w:rsidRDefault="00CB69E0" w:rsidP="00CB69E0">
      <w:pPr>
        <w:pStyle w:val="NoSpacing"/>
      </w:pPr>
    </w:p>
    <w:p w14:paraId="0AD3284A" w14:textId="77777777" w:rsidR="00886E0F" w:rsidRDefault="00886E0F" w:rsidP="00CB69E0">
      <w:pPr>
        <w:pStyle w:val="NoSpacing"/>
      </w:pPr>
    </w:p>
    <w:p w14:paraId="0AA07016" w14:textId="61BD4D7D" w:rsidR="00CB69E0" w:rsidRDefault="00C416E0" w:rsidP="00886E0F">
      <w:pPr>
        <w:pStyle w:val="NoSpacing"/>
        <w:jc w:val="center"/>
      </w:pPr>
      <w:r>
        <w:t>###</w:t>
      </w:r>
    </w:p>
    <w:p w14:paraId="166FFE1B" w14:textId="77777777" w:rsidR="009C3B76" w:rsidRDefault="009C3B76" w:rsidP="00434525">
      <w:pPr>
        <w:pStyle w:val="NormalWeb"/>
        <w:spacing w:before="0" w:beforeAutospacing="0" w:after="0" w:afterAutospacing="0"/>
        <w:rPr>
          <w:rFonts w:asciiTheme="majorHAnsi" w:hAnsiTheme="majorHAnsi"/>
          <w:b/>
          <w:sz w:val="22"/>
          <w:szCs w:val="22"/>
        </w:rPr>
      </w:pPr>
    </w:p>
    <w:p w14:paraId="61741791" w14:textId="77777777" w:rsidR="009C3B76" w:rsidRDefault="009C3B76" w:rsidP="00434525">
      <w:pPr>
        <w:pStyle w:val="NormalWeb"/>
        <w:spacing w:before="0" w:beforeAutospacing="0" w:after="0" w:afterAutospacing="0"/>
        <w:rPr>
          <w:rFonts w:asciiTheme="majorHAnsi" w:hAnsiTheme="majorHAnsi"/>
          <w:b/>
          <w:sz w:val="22"/>
          <w:szCs w:val="22"/>
        </w:rPr>
      </w:pPr>
    </w:p>
    <w:p w14:paraId="5AC5F08B" w14:textId="77777777" w:rsidR="00434525" w:rsidRPr="00434525" w:rsidRDefault="00434525" w:rsidP="00434525">
      <w:pPr>
        <w:pStyle w:val="NormalWeb"/>
        <w:spacing w:before="0" w:beforeAutospacing="0" w:after="0" w:afterAutospacing="0"/>
        <w:rPr>
          <w:rFonts w:asciiTheme="majorHAnsi" w:hAnsiTheme="majorHAnsi"/>
          <w:b/>
        </w:rPr>
      </w:pPr>
      <w:r w:rsidRPr="00434525">
        <w:rPr>
          <w:rFonts w:asciiTheme="majorHAnsi" w:hAnsiTheme="majorHAnsi"/>
          <w:b/>
          <w:sz w:val="22"/>
          <w:szCs w:val="22"/>
        </w:rPr>
        <w:t xml:space="preserve">About CCSSO </w:t>
      </w:r>
    </w:p>
    <w:p w14:paraId="27FE4931" w14:textId="76A9DC75" w:rsidR="00434525" w:rsidRPr="00434525" w:rsidRDefault="00434525" w:rsidP="00434525">
      <w:pPr>
        <w:pStyle w:val="NormalWeb"/>
        <w:spacing w:before="0" w:beforeAutospacing="0" w:after="0" w:afterAutospacing="0"/>
        <w:rPr>
          <w:rFonts w:asciiTheme="majorHAnsi" w:hAnsiTheme="majorHAnsi"/>
          <w:b/>
          <w:i/>
        </w:rPr>
      </w:pPr>
      <w:r w:rsidRPr="00434525">
        <w:rPr>
          <w:rFonts w:asciiTheme="majorHAnsi" w:hAnsiTheme="majorHAnsi"/>
          <w:i/>
          <w:sz w:val="22"/>
          <w:szCs w:val="22"/>
        </w:rPr>
        <w:t xml:space="preserve">The Council of Chief State School Officers (CCSSO) is a nonpartisan, nationwide, nonprofit organization of public officials who head departments of elementary and secondary education in the states, the District of Columbia, the Department of Defense Education Activity, and five U.S. extra-state jurisdictions. CCSSO provides leadership, advocacy, and technical assistance on major educational issues. The Council seeks member consensus on major educational issues and expresses their views to civic and professional organizations, federal agencies, Congress, and the public. </w:t>
      </w:r>
    </w:p>
    <w:p w14:paraId="4BF0240E" w14:textId="77777777" w:rsidR="00434525" w:rsidRDefault="00434525" w:rsidP="00434525">
      <w:pPr>
        <w:pStyle w:val="NormalWeb"/>
        <w:spacing w:before="0" w:beforeAutospacing="0" w:after="0" w:afterAutospacing="0"/>
        <w:rPr>
          <w:rFonts w:asciiTheme="majorHAnsi" w:hAnsiTheme="majorHAnsi"/>
          <w:sz w:val="22"/>
          <w:szCs w:val="22"/>
        </w:rPr>
      </w:pPr>
    </w:p>
    <w:p w14:paraId="614A9E96" w14:textId="77777777" w:rsidR="00434525" w:rsidRPr="00434525" w:rsidRDefault="00434525" w:rsidP="00434525">
      <w:pPr>
        <w:pStyle w:val="NormalWeb"/>
        <w:spacing w:before="0" w:beforeAutospacing="0" w:after="0" w:afterAutospacing="0"/>
        <w:rPr>
          <w:rFonts w:asciiTheme="majorHAnsi" w:hAnsiTheme="majorHAnsi"/>
          <w:b/>
        </w:rPr>
      </w:pPr>
      <w:r w:rsidRPr="00434525">
        <w:rPr>
          <w:rFonts w:asciiTheme="majorHAnsi" w:hAnsiTheme="majorHAnsi"/>
          <w:b/>
          <w:sz w:val="22"/>
          <w:szCs w:val="22"/>
        </w:rPr>
        <w:t xml:space="preserve">About Education Strategy Group </w:t>
      </w:r>
    </w:p>
    <w:p w14:paraId="06B2CCC4" w14:textId="77777777" w:rsidR="00434525" w:rsidRPr="00434525" w:rsidRDefault="00434525" w:rsidP="00434525">
      <w:pPr>
        <w:pStyle w:val="NormalWeb"/>
        <w:spacing w:before="0" w:beforeAutospacing="0" w:after="0" w:afterAutospacing="0"/>
        <w:rPr>
          <w:rFonts w:asciiTheme="majorHAnsi" w:hAnsiTheme="majorHAnsi"/>
          <w:i/>
        </w:rPr>
      </w:pPr>
      <w:r w:rsidRPr="00434525">
        <w:rPr>
          <w:rFonts w:asciiTheme="majorHAnsi" w:hAnsiTheme="majorHAnsi"/>
          <w:i/>
          <w:sz w:val="22"/>
          <w:szCs w:val="22"/>
        </w:rPr>
        <w:t xml:space="preserve">Education Strategy Group supports America’s education leaders and employers at the transition points that have the highest stakes for students and the highest impact for states, communities and economies. We bring deep experience leading policy development, advocacy and implementation work in the K-12, higher education, and workforce sectors. </w:t>
      </w:r>
    </w:p>
    <w:p w14:paraId="6AA2BA91" w14:textId="77777777" w:rsidR="00434525" w:rsidRDefault="00434525" w:rsidP="00434525">
      <w:pPr>
        <w:pStyle w:val="NoSpacing"/>
      </w:pPr>
    </w:p>
    <w:p w14:paraId="56A4025A" w14:textId="6CFB2BA8" w:rsidR="00434525" w:rsidRDefault="00434525" w:rsidP="00434525">
      <w:pPr>
        <w:pStyle w:val="NoSpacing"/>
      </w:pPr>
      <w:r>
        <w:rPr>
          <w:b/>
        </w:rPr>
        <w:t>About Advance CTE</w:t>
      </w:r>
    </w:p>
    <w:p w14:paraId="5FA5AC43" w14:textId="77777777" w:rsidR="00F33A3C" w:rsidRPr="00F33A3C" w:rsidRDefault="00F33A3C" w:rsidP="00D02F30">
      <w:pPr>
        <w:pStyle w:val="NormalWeb"/>
        <w:spacing w:before="0" w:beforeAutospacing="0" w:after="0" w:afterAutospacing="0"/>
        <w:rPr>
          <w:rFonts w:asciiTheme="majorHAnsi" w:eastAsia="Times New Roman" w:hAnsiTheme="majorHAnsi"/>
          <w:sz w:val="28"/>
        </w:rPr>
      </w:pPr>
      <w:r w:rsidRPr="00D02F30">
        <w:rPr>
          <w:rFonts w:asciiTheme="majorHAnsi" w:hAnsiTheme="majorHAnsi"/>
          <w:i/>
          <w:sz w:val="22"/>
          <w:szCs w:val="22"/>
        </w:rPr>
        <w:t>Advance</w:t>
      </w:r>
      <w:r w:rsidRPr="004D7132">
        <w:rPr>
          <w:rFonts w:asciiTheme="majorHAnsi" w:hAnsiTheme="majorHAnsi"/>
          <w:i/>
          <w:sz w:val="22"/>
          <w:szCs w:val="22"/>
        </w:rPr>
        <w:t xml:space="preserve"> CTE: State Leaders Connecting Learning to Work is the longest-standing national non-profit that represents State Directors and state leaders responsible for secondary, postsecondary and adult Career Technical Education (CTE) across all 50 states and U.S. territories.  Advance CTE was formerly known as the National Association of State Directors of Career Technical Education Consortium (</w:t>
      </w:r>
      <w:proofErr w:type="spellStart"/>
      <w:r w:rsidRPr="004D7132">
        <w:rPr>
          <w:rFonts w:asciiTheme="majorHAnsi" w:hAnsiTheme="majorHAnsi"/>
          <w:i/>
          <w:sz w:val="22"/>
          <w:szCs w:val="22"/>
        </w:rPr>
        <w:t>NASDCTEc</w:t>
      </w:r>
      <w:proofErr w:type="spellEnd"/>
      <w:r w:rsidRPr="004D7132">
        <w:rPr>
          <w:rFonts w:asciiTheme="majorHAnsi" w:hAnsiTheme="majorHAnsi"/>
          <w:i/>
          <w:sz w:val="22"/>
          <w:szCs w:val="22"/>
        </w:rPr>
        <w:t>).</w:t>
      </w:r>
    </w:p>
    <w:p w14:paraId="34F269DC" w14:textId="77777777" w:rsidR="00434525" w:rsidRDefault="00434525" w:rsidP="00434525">
      <w:pPr>
        <w:pStyle w:val="NoSpacing"/>
      </w:pPr>
    </w:p>
    <w:p w14:paraId="52D3FFC0" w14:textId="4A5F52C0" w:rsidR="00434525" w:rsidRDefault="00434525" w:rsidP="00434525">
      <w:pPr>
        <w:pStyle w:val="NoSpacing"/>
        <w:rPr>
          <w:b/>
        </w:rPr>
      </w:pPr>
      <w:r>
        <w:rPr>
          <w:b/>
        </w:rPr>
        <w:t>About J.P. Morgan Chase</w:t>
      </w:r>
      <w:r w:rsidR="00061A96">
        <w:rPr>
          <w:b/>
        </w:rPr>
        <w:t xml:space="preserve"> &amp; Co.</w:t>
      </w:r>
    </w:p>
    <w:p w14:paraId="1932BBE7" w14:textId="3F5B81C1" w:rsidR="00061A96" w:rsidRPr="00061A96" w:rsidRDefault="00061A96" w:rsidP="00434525">
      <w:pPr>
        <w:pStyle w:val="NoSpacing"/>
        <w:rPr>
          <w:i/>
        </w:rPr>
      </w:pPr>
      <w:r w:rsidRPr="00061A96">
        <w:rPr>
          <w:i/>
        </w:rPr>
        <w:t>JPMorgan Chase &amp; Co. (NYSE: JPM) is a leading global financial services firm with assets of $2.5 trillion and operations worldwide. The Firm is a leader in investment banking, financial services for consumers and small businesses, commercial banking, financial transaction processing, and asset management. A component of the Dow Jones Industrial Average, JPMorgan Chase &amp; Co. serves millions of consumers in the United States and many of the world's most prominent corporate, institutional and government clients under its J.P. Morgan and Chase brands. The firm uses its global resources, expertise, insights and scale to address some of the most urgent challenges facing communities around the world including the need for increased economic opportunity. Information about JPMorgan Chase &amp; Co. is available at www.jpmorganchase.com.</w:t>
      </w:r>
    </w:p>
    <w:p w14:paraId="07CA4E86" w14:textId="77777777" w:rsidR="00D02F30" w:rsidRPr="00D02F30" w:rsidRDefault="00D02F30" w:rsidP="00434525">
      <w:pPr>
        <w:pStyle w:val="NoSpacing"/>
        <w:rPr>
          <w:b/>
          <w:i/>
        </w:rPr>
      </w:pPr>
    </w:p>
    <w:sectPr w:rsidR="00D02F30" w:rsidRPr="00D02F30" w:rsidSect="007A57FF">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C5C39" w14:textId="77777777" w:rsidR="00817262" w:rsidRDefault="00817262" w:rsidP="009537B8">
      <w:r>
        <w:separator/>
      </w:r>
    </w:p>
  </w:endnote>
  <w:endnote w:type="continuationSeparator" w:id="0">
    <w:p w14:paraId="0269D2B5" w14:textId="77777777" w:rsidR="00817262" w:rsidRDefault="00817262" w:rsidP="0095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9ABD2" w14:textId="77777777" w:rsidR="00817262" w:rsidRDefault="00817262" w:rsidP="009537B8">
      <w:r>
        <w:separator/>
      </w:r>
    </w:p>
  </w:footnote>
  <w:footnote w:type="continuationSeparator" w:id="0">
    <w:p w14:paraId="34CE97D5" w14:textId="77777777" w:rsidR="00817262" w:rsidRDefault="00817262" w:rsidP="009537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8F2F4" w14:textId="59252AB2" w:rsidR="009537B8" w:rsidRDefault="007A57FF">
    <w:pPr>
      <w:pStyle w:val="Header"/>
    </w:pPr>
    <w:r w:rsidRPr="007A57FF">
      <w:drawing>
        <wp:inline distT="0" distB="0" distL="0" distR="0" wp14:anchorId="62E69CD2" wp14:editId="3308EF2F">
          <wp:extent cx="2237105" cy="43688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 cstate="print">
                    <a:extLst>
                      <a:ext uri="{28A0092B-C50C-407E-A947-70E740481C1C}">
                        <a14:useLocalDpi xmlns:a14="http://schemas.microsoft.com/office/drawing/2010/main" val="0"/>
                      </a:ext>
                    </a:extLst>
                  </a:blip>
                  <a:srcRect t="31222" b="34087"/>
                  <a:stretch/>
                </pic:blipFill>
                <pic:spPr bwMode="auto">
                  <a:xfrm>
                    <a:off x="0" y="0"/>
                    <a:ext cx="2237480" cy="436953"/>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center" w:leader="none"/>
    </w:r>
    <w:r w:rsidRPr="007A57FF">
      <w:drawing>
        <wp:inline distT="0" distB="0" distL="0" distR="0" wp14:anchorId="618C4E22" wp14:editId="7F5709EC">
          <wp:extent cx="1236439" cy="591526"/>
          <wp:effectExtent l="0" t="0" r="8255" b="0"/>
          <wp:docPr id="1" name="Picture 3" descr="/Volumes/Clients/CCSSO/CCS007_Org Logo/Final/CCS007_OrgLogo_FINAL_121609/CMYK_colors/CCSSO_ful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Volumes/Clients/CCSSO/CCS007_Org Logo/Final/CCS007_OrgLogo_FINAL_121609/CMYK_colors/CCSSO_full_cmyk.eps"/>
                  <pic:cNvPicPr>
                    <a:picLocks noChangeAspect="1" noChangeArrowheads="1"/>
                  </pic:cNvPicPr>
                </pic:nvPicPr>
                <pic:blipFill>
                  <a:blip r:embed="rId2" cstate="print"/>
                  <a:srcRect/>
                  <a:stretch>
                    <a:fillRect/>
                  </a:stretch>
                </pic:blipFill>
                <pic:spPr bwMode="auto">
                  <a:xfrm>
                    <a:off x="0" y="0"/>
                    <a:ext cx="1258931" cy="602286"/>
                  </a:xfrm>
                  <a:prstGeom prst="rect">
                    <a:avLst/>
                  </a:prstGeom>
                  <a:noFill/>
                  <a:ln w="9525">
                    <a:noFill/>
                    <a:miter lim="800000"/>
                    <a:headEnd/>
                    <a:tailEnd/>
                  </a:ln>
                </pic:spPr>
              </pic:pic>
            </a:graphicData>
          </a:graphic>
        </wp:inline>
      </w:drawing>
    </w:r>
    <w:r>
      <w:ptab w:relativeTo="margin" w:alignment="right" w:leader="none"/>
    </w:r>
    <w:r w:rsidRPr="007A57FF">
      <w:drawing>
        <wp:inline distT="0" distB="0" distL="0" distR="0" wp14:anchorId="096EFA5F" wp14:editId="1C3C4CB3">
          <wp:extent cx="1774825" cy="379808"/>
          <wp:effectExtent l="0" t="0" r="3175" b="1270"/>
          <wp:docPr id="3" name="Picture 3" descr="http://blog.careertech.org/wp-content/uploads/2016/02/ADVANC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blog.careertech.org/wp-content/uploads/2016/02/ADVANCE-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7234" cy="391023"/>
                  </a:xfrm>
                  <a:prstGeom prst="rect">
                    <a:avLst/>
                  </a:prstGeom>
                  <a:noFill/>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F0D35"/>
    <w:multiLevelType w:val="hybridMultilevel"/>
    <w:tmpl w:val="C826D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E05DD"/>
    <w:multiLevelType w:val="hybridMultilevel"/>
    <w:tmpl w:val="2C5C3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E0"/>
    <w:rsid w:val="00012CDE"/>
    <w:rsid w:val="0002346D"/>
    <w:rsid w:val="00031E9A"/>
    <w:rsid w:val="00040B94"/>
    <w:rsid w:val="00061A96"/>
    <w:rsid w:val="00096B45"/>
    <w:rsid w:val="000A0AED"/>
    <w:rsid w:val="000B2BFC"/>
    <w:rsid w:val="000B690F"/>
    <w:rsid w:val="00107559"/>
    <w:rsid w:val="00115493"/>
    <w:rsid w:val="00122A3B"/>
    <w:rsid w:val="002010C1"/>
    <w:rsid w:val="002072CC"/>
    <w:rsid w:val="002076F9"/>
    <w:rsid w:val="002556DF"/>
    <w:rsid w:val="00333A19"/>
    <w:rsid w:val="003D2DF1"/>
    <w:rsid w:val="003D2F4D"/>
    <w:rsid w:val="003E3D2D"/>
    <w:rsid w:val="0041000B"/>
    <w:rsid w:val="00434525"/>
    <w:rsid w:val="004813EB"/>
    <w:rsid w:val="004A2F30"/>
    <w:rsid w:val="004D7132"/>
    <w:rsid w:val="0053080D"/>
    <w:rsid w:val="005C1FEA"/>
    <w:rsid w:val="005D4D97"/>
    <w:rsid w:val="006828A7"/>
    <w:rsid w:val="00697098"/>
    <w:rsid w:val="006C2FB3"/>
    <w:rsid w:val="006E0B56"/>
    <w:rsid w:val="006F15C9"/>
    <w:rsid w:val="006F177D"/>
    <w:rsid w:val="006F3EA4"/>
    <w:rsid w:val="007529A2"/>
    <w:rsid w:val="00760467"/>
    <w:rsid w:val="0076245E"/>
    <w:rsid w:val="0079087F"/>
    <w:rsid w:val="00795DD9"/>
    <w:rsid w:val="007A1C12"/>
    <w:rsid w:val="007A57FF"/>
    <w:rsid w:val="00817262"/>
    <w:rsid w:val="00823606"/>
    <w:rsid w:val="00886E0F"/>
    <w:rsid w:val="00891C3E"/>
    <w:rsid w:val="008C2D26"/>
    <w:rsid w:val="008E25C7"/>
    <w:rsid w:val="009537B8"/>
    <w:rsid w:val="00962A60"/>
    <w:rsid w:val="009819A7"/>
    <w:rsid w:val="0098409E"/>
    <w:rsid w:val="009C3B76"/>
    <w:rsid w:val="00A3185C"/>
    <w:rsid w:val="00A45A19"/>
    <w:rsid w:val="00A62BA6"/>
    <w:rsid w:val="00A667C2"/>
    <w:rsid w:val="00AA119C"/>
    <w:rsid w:val="00AC442D"/>
    <w:rsid w:val="00AC47FF"/>
    <w:rsid w:val="00AE31BC"/>
    <w:rsid w:val="00B01DF9"/>
    <w:rsid w:val="00B6143A"/>
    <w:rsid w:val="00B6245F"/>
    <w:rsid w:val="00BE00F6"/>
    <w:rsid w:val="00C004C4"/>
    <w:rsid w:val="00C416E0"/>
    <w:rsid w:val="00C54216"/>
    <w:rsid w:val="00CB69E0"/>
    <w:rsid w:val="00CC5E6B"/>
    <w:rsid w:val="00D02F30"/>
    <w:rsid w:val="00D36CA8"/>
    <w:rsid w:val="00DB00BE"/>
    <w:rsid w:val="00DC23D6"/>
    <w:rsid w:val="00E57A24"/>
    <w:rsid w:val="00E6549D"/>
    <w:rsid w:val="00EF4039"/>
    <w:rsid w:val="00EF5123"/>
    <w:rsid w:val="00F30277"/>
    <w:rsid w:val="00F33A3C"/>
    <w:rsid w:val="00FE1717"/>
    <w:rsid w:val="00FE2CDF"/>
    <w:rsid w:val="00FE384B"/>
    <w:rsid w:val="00FF548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262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69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9E0"/>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CB69E0"/>
  </w:style>
  <w:style w:type="character" w:styleId="CommentReference">
    <w:name w:val="annotation reference"/>
    <w:basedOn w:val="DefaultParagraphFont"/>
    <w:uiPriority w:val="99"/>
    <w:semiHidden/>
    <w:unhideWhenUsed/>
    <w:rsid w:val="0002346D"/>
    <w:rPr>
      <w:sz w:val="18"/>
      <w:szCs w:val="18"/>
    </w:rPr>
  </w:style>
  <w:style w:type="paragraph" w:styleId="CommentText">
    <w:name w:val="annotation text"/>
    <w:basedOn w:val="Normal"/>
    <w:link w:val="CommentTextChar"/>
    <w:uiPriority w:val="99"/>
    <w:semiHidden/>
    <w:unhideWhenUsed/>
    <w:rsid w:val="0002346D"/>
    <w:rPr>
      <w:sz w:val="24"/>
      <w:szCs w:val="24"/>
    </w:rPr>
  </w:style>
  <w:style w:type="character" w:customStyle="1" w:styleId="CommentTextChar">
    <w:name w:val="Comment Text Char"/>
    <w:basedOn w:val="DefaultParagraphFont"/>
    <w:link w:val="CommentText"/>
    <w:uiPriority w:val="99"/>
    <w:semiHidden/>
    <w:rsid w:val="0002346D"/>
    <w:rPr>
      <w:sz w:val="24"/>
      <w:szCs w:val="24"/>
    </w:rPr>
  </w:style>
  <w:style w:type="paragraph" w:styleId="CommentSubject">
    <w:name w:val="annotation subject"/>
    <w:basedOn w:val="CommentText"/>
    <w:next w:val="CommentText"/>
    <w:link w:val="CommentSubjectChar"/>
    <w:uiPriority w:val="99"/>
    <w:semiHidden/>
    <w:unhideWhenUsed/>
    <w:rsid w:val="0002346D"/>
    <w:rPr>
      <w:b/>
      <w:bCs/>
      <w:sz w:val="20"/>
      <w:szCs w:val="20"/>
    </w:rPr>
  </w:style>
  <w:style w:type="character" w:customStyle="1" w:styleId="CommentSubjectChar">
    <w:name w:val="Comment Subject Char"/>
    <w:basedOn w:val="CommentTextChar"/>
    <w:link w:val="CommentSubject"/>
    <w:uiPriority w:val="99"/>
    <w:semiHidden/>
    <w:rsid w:val="0002346D"/>
    <w:rPr>
      <w:b/>
      <w:bCs/>
      <w:sz w:val="20"/>
      <w:szCs w:val="20"/>
    </w:rPr>
  </w:style>
  <w:style w:type="paragraph" w:styleId="BalloonText">
    <w:name w:val="Balloon Text"/>
    <w:basedOn w:val="Normal"/>
    <w:link w:val="BalloonTextChar"/>
    <w:uiPriority w:val="99"/>
    <w:semiHidden/>
    <w:unhideWhenUsed/>
    <w:rsid w:val="000234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346D"/>
    <w:rPr>
      <w:rFonts w:ascii="Times New Roman" w:hAnsi="Times New Roman" w:cs="Times New Roman"/>
      <w:sz w:val="18"/>
      <w:szCs w:val="18"/>
    </w:rPr>
  </w:style>
  <w:style w:type="paragraph" w:styleId="Header">
    <w:name w:val="header"/>
    <w:basedOn w:val="Normal"/>
    <w:link w:val="HeaderChar"/>
    <w:uiPriority w:val="99"/>
    <w:unhideWhenUsed/>
    <w:rsid w:val="009537B8"/>
    <w:pPr>
      <w:tabs>
        <w:tab w:val="center" w:pos="4680"/>
        <w:tab w:val="right" w:pos="9360"/>
      </w:tabs>
    </w:pPr>
  </w:style>
  <w:style w:type="character" w:customStyle="1" w:styleId="HeaderChar">
    <w:name w:val="Header Char"/>
    <w:basedOn w:val="DefaultParagraphFont"/>
    <w:link w:val="Header"/>
    <w:uiPriority w:val="99"/>
    <w:rsid w:val="009537B8"/>
  </w:style>
  <w:style w:type="paragraph" w:styleId="Footer">
    <w:name w:val="footer"/>
    <w:basedOn w:val="Normal"/>
    <w:link w:val="FooterChar"/>
    <w:uiPriority w:val="99"/>
    <w:unhideWhenUsed/>
    <w:rsid w:val="009537B8"/>
    <w:pPr>
      <w:tabs>
        <w:tab w:val="center" w:pos="4680"/>
        <w:tab w:val="right" w:pos="9360"/>
      </w:tabs>
    </w:pPr>
  </w:style>
  <w:style w:type="character" w:customStyle="1" w:styleId="FooterChar">
    <w:name w:val="Footer Char"/>
    <w:basedOn w:val="DefaultParagraphFont"/>
    <w:link w:val="Footer"/>
    <w:uiPriority w:val="99"/>
    <w:rsid w:val="009537B8"/>
  </w:style>
  <w:style w:type="paragraph" w:styleId="NormalWeb">
    <w:name w:val="Normal (Web)"/>
    <w:basedOn w:val="Normal"/>
    <w:uiPriority w:val="99"/>
    <w:semiHidden/>
    <w:unhideWhenUsed/>
    <w:rsid w:val="00434525"/>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F33A3C"/>
    <w:rPr>
      <w:i/>
      <w:iCs/>
    </w:rPr>
  </w:style>
  <w:style w:type="character" w:styleId="Hyperlink">
    <w:name w:val="Hyperlink"/>
    <w:basedOn w:val="DefaultParagraphFont"/>
    <w:uiPriority w:val="99"/>
    <w:unhideWhenUsed/>
    <w:rsid w:val="00FE38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0989">
      <w:bodyDiv w:val="1"/>
      <w:marLeft w:val="0"/>
      <w:marRight w:val="0"/>
      <w:marTop w:val="0"/>
      <w:marBottom w:val="0"/>
      <w:divBdr>
        <w:top w:val="none" w:sz="0" w:space="0" w:color="auto"/>
        <w:left w:val="none" w:sz="0" w:space="0" w:color="auto"/>
        <w:bottom w:val="none" w:sz="0" w:space="0" w:color="auto"/>
        <w:right w:val="none" w:sz="0" w:space="0" w:color="auto"/>
      </w:divBdr>
    </w:div>
    <w:div w:id="579410524">
      <w:bodyDiv w:val="1"/>
      <w:marLeft w:val="0"/>
      <w:marRight w:val="0"/>
      <w:marTop w:val="0"/>
      <w:marBottom w:val="0"/>
      <w:divBdr>
        <w:top w:val="none" w:sz="0" w:space="0" w:color="auto"/>
        <w:left w:val="none" w:sz="0" w:space="0" w:color="auto"/>
        <w:bottom w:val="none" w:sz="0" w:space="0" w:color="auto"/>
        <w:right w:val="none" w:sz="0" w:space="0" w:color="auto"/>
      </w:divBdr>
      <w:divsChild>
        <w:div w:id="999770004">
          <w:marLeft w:val="0"/>
          <w:marRight w:val="0"/>
          <w:marTop w:val="0"/>
          <w:marBottom w:val="0"/>
          <w:divBdr>
            <w:top w:val="none" w:sz="0" w:space="0" w:color="auto"/>
            <w:left w:val="none" w:sz="0" w:space="0" w:color="auto"/>
            <w:bottom w:val="none" w:sz="0" w:space="0" w:color="auto"/>
            <w:right w:val="none" w:sz="0" w:space="0" w:color="auto"/>
          </w:divBdr>
          <w:divsChild>
            <w:div w:id="1231696177">
              <w:marLeft w:val="0"/>
              <w:marRight w:val="0"/>
              <w:marTop w:val="0"/>
              <w:marBottom w:val="0"/>
              <w:divBdr>
                <w:top w:val="none" w:sz="0" w:space="0" w:color="auto"/>
                <w:left w:val="none" w:sz="0" w:space="0" w:color="auto"/>
                <w:bottom w:val="none" w:sz="0" w:space="0" w:color="auto"/>
                <w:right w:val="none" w:sz="0" w:space="0" w:color="auto"/>
              </w:divBdr>
              <w:divsChild>
                <w:div w:id="7309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93277">
      <w:bodyDiv w:val="1"/>
      <w:marLeft w:val="0"/>
      <w:marRight w:val="0"/>
      <w:marTop w:val="0"/>
      <w:marBottom w:val="0"/>
      <w:divBdr>
        <w:top w:val="none" w:sz="0" w:space="0" w:color="auto"/>
        <w:left w:val="none" w:sz="0" w:space="0" w:color="auto"/>
        <w:bottom w:val="none" w:sz="0" w:space="0" w:color="auto"/>
        <w:right w:val="none" w:sz="0" w:space="0" w:color="auto"/>
      </w:divBdr>
    </w:div>
    <w:div w:id="1960258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csso.org/resource-library/credential-currency-how-states-can-identify-and-promote-credentials-value" TargetMode="External"/><Relationship Id="rId8" Type="http://schemas.openxmlformats.org/officeDocument/2006/relationships/hyperlink" Target="https://ccsso.org/resource-library/credential-currency-how-states-can-identify-and-promote-credentials-valu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1436</Words>
  <Characters>8191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Fioritto</dc:creator>
  <cp:keywords/>
  <dc:description/>
  <cp:lastModifiedBy>Ryan Reyna</cp:lastModifiedBy>
  <cp:revision>5</cp:revision>
  <dcterms:created xsi:type="dcterms:W3CDTF">2018-09-27T00:14:00Z</dcterms:created>
  <dcterms:modified xsi:type="dcterms:W3CDTF">2018-10-01T13:03:00Z</dcterms:modified>
</cp:coreProperties>
</file>